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C486" w14:textId="6E37C079" w:rsidR="00944099" w:rsidRPr="001B5580" w:rsidRDefault="001B5580">
      <w:pPr>
        <w:keepNext/>
        <w:keepLines/>
        <w:pBdr>
          <w:top w:val="nil"/>
          <w:left w:val="nil"/>
          <w:bottom w:val="nil"/>
          <w:right w:val="nil"/>
          <w:between w:val="nil"/>
        </w:pBdr>
        <w:spacing w:before="480" w:after="120" w:line="240" w:lineRule="auto"/>
        <w:jc w:val="center"/>
        <w:rPr>
          <w:rFonts w:ascii="Arial" w:eastAsia="Arial" w:hAnsi="Arial" w:cs="Arial"/>
          <w:b/>
          <w:color w:val="C5E0B3" w:themeColor="accent6" w:themeTint="66"/>
          <w:sz w:val="44"/>
          <w:szCs w:val="44"/>
        </w:rPr>
      </w:pPr>
      <w:r>
        <w:rPr>
          <w:rFonts w:ascii="Arial" w:eastAsia="Arial" w:hAnsi="Arial" w:cs="Arial"/>
          <w:b/>
          <w:color w:val="C5E0B3" w:themeColor="accent6" w:themeTint="66"/>
          <w:sz w:val="44"/>
          <w:szCs w:val="44"/>
        </w:rPr>
        <w:t xml:space="preserve">    </w:t>
      </w:r>
      <w:r w:rsidR="00E81832" w:rsidRPr="001B5580">
        <w:rPr>
          <w:rFonts w:ascii="Arial" w:eastAsia="Arial" w:hAnsi="Arial" w:cs="Arial"/>
          <w:b/>
          <w:color w:val="C5E0B3" w:themeColor="accent6" w:themeTint="66"/>
          <w:sz w:val="44"/>
          <w:szCs w:val="44"/>
        </w:rPr>
        <w:t>ACE Admissions Policy</w:t>
      </w:r>
    </w:p>
    <w:p w14:paraId="072B3601" w14:textId="77777777" w:rsidR="00944099" w:rsidRDefault="00E81832">
      <w:pPr>
        <w:keepNext/>
        <w:keepLines/>
        <w:pBdr>
          <w:top w:val="nil"/>
          <w:left w:val="nil"/>
          <w:bottom w:val="nil"/>
          <w:right w:val="nil"/>
          <w:between w:val="nil"/>
        </w:pBdr>
        <w:spacing w:before="480" w:after="120" w:line="240" w:lineRule="auto"/>
        <w:jc w:val="center"/>
        <w:rPr>
          <w:rFonts w:ascii="Arial" w:eastAsia="Arial" w:hAnsi="Arial" w:cs="Arial"/>
          <w:b/>
          <w:color w:val="0070C0"/>
          <w:sz w:val="44"/>
          <w:szCs w:val="44"/>
        </w:rPr>
      </w:pPr>
      <w:r>
        <w:rPr>
          <w:rFonts w:ascii="Lexend" w:eastAsia="Lexend" w:hAnsi="Lexend" w:cs="Lexend"/>
          <w:b/>
          <w:noProof/>
        </w:rPr>
        <w:drawing>
          <wp:inline distT="114300" distB="114300" distL="114300" distR="114300" wp14:anchorId="7FFE281A" wp14:editId="54556A33">
            <wp:extent cx="2633913" cy="286348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633913" cy="2863481"/>
                    </a:xfrm>
                    <a:prstGeom prst="rect">
                      <a:avLst/>
                    </a:prstGeom>
                    <a:ln/>
                  </pic:spPr>
                </pic:pic>
              </a:graphicData>
            </a:graphic>
          </wp:inline>
        </w:drawing>
      </w:r>
    </w:p>
    <w:p w14:paraId="1FC3785E" w14:textId="77777777" w:rsidR="00944099" w:rsidRDefault="00944099">
      <w:pPr>
        <w:ind w:firstLine="720"/>
        <w:rPr>
          <w:rFonts w:ascii="Arial" w:eastAsia="Arial" w:hAnsi="Arial" w:cs="Arial"/>
          <w:sz w:val="20"/>
          <w:szCs w:val="20"/>
        </w:rPr>
      </w:pPr>
    </w:p>
    <w:tbl>
      <w:tblPr>
        <w:tblStyle w:val="a1"/>
        <w:tblW w:w="9441" w:type="dxa"/>
        <w:tblInd w:w="108" w:type="dxa"/>
        <w:tblBorders>
          <w:insideH w:val="single" w:sz="18" w:space="0" w:color="FFFFFF"/>
        </w:tblBorders>
        <w:tblLayout w:type="fixed"/>
        <w:tblLook w:val="0400" w:firstRow="0" w:lastRow="0" w:firstColumn="0" w:lastColumn="0" w:noHBand="0" w:noVBand="1"/>
      </w:tblPr>
      <w:tblGrid>
        <w:gridCol w:w="2127"/>
        <w:gridCol w:w="3727"/>
        <w:gridCol w:w="3587"/>
      </w:tblGrid>
      <w:tr w:rsidR="00944099" w14:paraId="70E689CE" w14:textId="77777777">
        <w:tc>
          <w:tcPr>
            <w:tcW w:w="2127" w:type="dxa"/>
            <w:shd w:val="clear" w:color="auto" w:fill="BFBFBF"/>
          </w:tcPr>
          <w:p w14:paraId="28ED63E0" w14:textId="77777777" w:rsidR="00944099" w:rsidRDefault="00E81832">
            <w:pPr>
              <w:rPr>
                <w:b/>
              </w:rPr>
            </w:pPr>
            <w:r>
              <w:rPr>
                <w:b/>
              </w:rPr>
              <w:t>Approved by:</w:t>
            </w:r>
          </w:p>
        </w:tc>
        <w:tc>
          <w:tcPr>
            <w:tcW w:w="3727" w:type="dxa"/>
            <w:shd w:val="clear" w:color="auto" w:fill="BFBFBF"/>
          </w:tcPr>
          <w:p w14:paraId="361D44EB" w14:textId="77777777" w:rsidR="00944099" w:rsidRDefault="00E81832">
            <w:r>
              <w:t>ACE SLT Team</w:t>
            </w:r>
          </w:p>
        </w:tc>
        <w:tc>
          <w:tcPr>
            <w:tcW w:w="3587" w:type="dxa"/>
            <w:shd w:val="clear" w:color="auto" w:fill="BFBFBF"/>
          </w:tcPr>
          <w:p w14:paraId="1BE9BC39" w14:textId="39078BDF" w:rsidR="00944099" w:rsidRDefault="00E81832">
            <w:bookmarkStart w:id="0" w:name="_heading=h.gjdgxs" w:colFirst="0" w:colLast="0"/>
            <w:bookmarkEnd w:id="0"/>
            <w:r>
              <w:rPr>
                <w:b/>
              </w:rPr>
              <w:t>Date:</w:t>
            </w:r>
            <w:r>
              <w:t xml:space="preserve"> </w:t>
            </w:r>
            <w:r w:rsidR="001B5580">
              <w:t>Oct 2025</w:t>
            </w:r>
          </w:p>
        </w:tc>
      </w:tr>
      <w:tr w:rsidR="00944099" w14:paraId="2EE4F560" w14:textId="77777777">
        <w:tc>
          <w:tcPr>
            <w:tcW w:w="2127" w:type="dxa"/>
            <w:shd w:val="clear" w:color="auto" w:fill="BFBFBF"/>
          </w:tcPr>
          <w:p w14:paraId="57419F64" w14:textId="77777777" w:rsidR="00944099" w:rsidRDefault="00E81832">
            <w:pPr>
              <w:rPr>
                <w:b/>
              </w:rPr>
            </w:pPr>
            <w:r>
              <w:rPr>
                <w:b/>
              </w:rPr>
              <w:t>Last reviewed on:</w:t>
            </w:r>
          </w:p>
        </w:tc>
        <w:tc>
          <w:tcPr>
            <w:tcW w:w="7314" w:type="dxa"/>
            <w:gridSpan w:val="2"/>
            <w:shd w:val="clear" w:color="auto" w:fill="BFBFBF"/>
          </w:tcPr>
          <w:p w14:paraId="0B8CAD67" w14:textId="6F658D55" w:rsidR="00944099" w:rsidRDefault="001B5580">
            <w:r>
              <w:t>October 2025</w:t>
            </w:r>
          </w:p>
        </w:tc>
      </w:tr>
      <w:tr w:rsidR="00944099" w14:paraId="3115E68E" w14:textId="77777777">
        <w:tc>
          <w:tcPr>
            <w:tcW w:w="2127" w:type="dxa"/>
            <w:shd w:val="clear" w:color="auto" w:fill="BFBFBF"/>
          </w:tcPr>
          <w:p w14:paraId="20A63D1E" w14:textId="77777777" w:rsidR="00944099" w:rsidRDefault="00E81832">
            <w:pPr>
              <w:rPr>
                <w:b/>
              </w:rPr>
            </w:pPr>
            <w:r>
              <w:rPr>
                <w:b/>
              </w:rPr>
              <w:t>Next review due by:</w:t>
            </w:r>
          </w:p>
        </w:tc>
        <w:tc>
          <w:tcPr>
            <w:tcW w:w="7314" w:type="dxa"/>
            <w:gridSpan w:val="2"/>
            <w:shd w:val="clear" w:color="auto" w:fill="BFBFBF"/>
          </w:tcPr>
          <w:p w14:paraId="24836830" w14:textId="30D9DA68" w:rsidR="00944099" w:rsidRDefault="001B5580">
            <w:r>
              <w:t>October 2026</w:t>
            </w:r>
          </w:p>
          <w:p w14:paraId="6040CD6E" w14:textId="77777777" w:rsidR="00944099" w:rsidRDefault="00944099"/>
        </w:tc>
      </w:tr>
    </w:tbl>
    <w:p w14:paraId="303A9726" w14:textId="77777777" w:rsidR="00944099" w:rsidRDefault="00944099">
      <w:pPr>
        <w:jc w:val="center"/>
        <w:rPr>
          <w:rFonts w:ascii="Arial" w:eastAsia="Arial" w:hAnsi="Arial" w:cs="Arial"/>
          <w:i/>
          <w:sz w:val="24"/>
          <w:szCs w:val="24"/>
        </w:rPr>
      </w:pPr>
    </w:p>
    <w:p w14:paraId="52C5642C" w14:textId="77777777" w:rsidR="00944099" w:rsidRDefault="00E81832">
      <w:pPr>
        <w:shd w:val="clear" w:color="auto" w:fill="FFFFFF"/>
        <w:spacing w:after="225" w:line="240" w:lineRule="auto"/>
        <w:rPr>
          <w:rFonts w:ascii="Arial" w:eastAsia="Arial" w:hAnsi="Arial" w:cs="Arial"/>
          <w:b/>
          <w:color w:val="3C4858"/>
          <w:sz w:val="24"/>
          <w:szCs w:val="24"/>
        </w:rPr>
      </w:pPr>
      <w:r>
        <w:rPr>
          <w:rFonts w:ascii="Arial" w:eastAsia="Arial" w:hAnsi="Arial" w:cs="Arial"/>
          <w:b/>
          <w:color w:val="3C4858"/>
          <w:sz w:val="24"/>
          <w:szCs w:val="24"/>
        </w:rPr>
        <w:t>ACE Context:</w:t>
      </w:r>
    </w:p>
    <w:p w14:paraId="79A0BDE1" w14:textId="77777777" w:rsidR="00944099" w:rsidRDefault="00E81832">
      <w:pP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 xml:space="preserve">ACE is the Secondary Age Pupil Referral Unit that covers and supports all secondary schools within the town.  ACE provides a wide range of services to secondary age students for and on behalf of the local authority in support of all Luton’s’ secondary schools.  </w:t>
      </w:r>
    </w:p>
    <w:p w14:paraId="26A14F09" w14:textId="77777777" w:rsidR="00944099" w:rsidRDefault="00E81832">
      <w:pPr>
        <w:shd w:val="clear" w:color="auto" w:fill="FFFFFF"/>
        <w:spacing w:after="225" w:line="240" w:lineRule="auto"/>
        <w:rPr>
          <w:rFonts w:ascii="Arial" w:eastAsia="Arial" w:hAnsi="Arial" w:cs="Arial"/>
          <w:color w:val="3C4858"/>
          <w:sz w:val="24"/>
          <w:szCs w:val="24"/>
        </w:rPr>
      </w:pPr>
      <w:r>
        <w:rPr>
          <w:rFonts w:ascii="Arial" w:eastAsia="Arial" w:hAnsi="Arial" w:cs="Arial"/>
          <w:color w:val="3C4858"/>
          <w:sz w:val="24"/>
          <w:szCs w:val="24"/>
        </w:rPr>
        <w:t>ACE operates a number of strands, which are offered to schools subject to capacity and costing:</w:t>
      </w:r>
    </w:p>
    <w:p w14:paraId="1561CE22" w14:textId="77777777" w:rsidR="00944099" w:rsidRDefault="00E81832">
      <w:pPr>
        <w:numPr>
          <w:ilvl w:val="0"/>
          <w:numId w:val="6"/>
        </w:numPr>
        <w:pBdr>
          <w:top w:val="nil"/>
          <w:left w:val="nil"/>
          <w:bottom w:val="nil"/>
          <w:right w:val="nil"/>
          <w:between w:val="nil"/>
        </w:pBdr>
        <w:shd w:val="clear" w:color="auto" w:fill="FFFFFF"/>
        <w:spacing w:after="225" w:line="240" w:lineRule="auto"/>
        <w:rPr>
          <w:rFonts w:ascii="Arial" w:eastAsia="Arial" w:hAnsi="Arial" w:cs="Arial"/>
          <w:color w:val="3C4858"/>
          <w:sz w:val="24"/>
          <w:szCs w:val="24"/>
        </w:rPr>
      </w:pPr>
      <w:r>
        <w:rPr>
          <w:rFonts w:ascii="Arial" w:eastAsia="Arial" w:hAnsi="Arial" w:cs="Arial"/>
          <w:b/>
          <w:color w:val="3C4858"/>
          <w:sz w:val="24"/>
          <w:szCs w:val="24"/>
        </w:rPr>
        <w:t>Route Mainstream</w:t>
      </w:r>
      <w:r>
        <w:rPr>
          <w:rFonts w:ascii="Arial" w:eastAsia="Arial" w:hAnsi="Arial" w:cs="Arial"/>
          <w:color w:val="3C4858"/>
          <w:sz w:val="24"/>
          <w:szCs w:val="24"/>
        </w:rPr>
        <w:t> which provides intervention via the PRU and supports and promotes the reintegration of students back into a full-time school placement.  These students are usually dual registered between ACE and their nominated school.</w:t>
      </w:r>
    </w:p>
    <w:p w14:paraId="642DBB3A" w14:textId="77777777" w:rsidR="00944099" w:rsidRDefault="00E81832">
      <w:pPr>
        <w:numPr>
          <w:ilvl w:val="0"/>
          <w:numId w:val="5"/>
        </w:numPr>
        <w:shd w:val="clear" w:color="auto" w:fill="FFFFFF"/>
        <w:spacing w:after="0" w:line="240" w:lineRule="auto"/>
        <w:jc w:val="both"/>
        <w:rPr>
          <w:rFonts w:ascii="Arial" w:eastAsia="Arial" w:hAnsi="Arial" w:cs="Arial"/>
          <w:color w:val="3C4858"/>
          <w:sz w:val="24"/>
          <w:szCs w:val="24"/>
        </w:rPr>
      </w:pPr>
      <w:r>
        <w:rPr>
          <w:rFonts w:ascii="Arial" w:eastAsia="Arial" w:hAnsi="Arial" w:cs="Arial"/>
          <w:b/>
          <w:color w:val="3C4858"/>
          <w:sz w:val="24"/>
          <w:szCs w:val="24"/>
        </w:rPr>
        <w:t>Route 19</w:t>
      </w:r>
      <w:r>
        <w:rPr>
          <w:rFonts w:ascii="Arial" w:eastAsia="Arial" w:hAnsi="Arial" w:cs="Arial"/>
          <w:color w:val="3C4858"/>
          <w:sz w:val="24"/>
          <w:szCs w:val="24"/>
        </w:rPr>
        <w:t xml:space="preserve"> which provides a blended educational package of academic, vocational and social education across ACE and our quality assured alternative </w:t>
      </w:r>
      <w:r>
        <w:rPr>
          <w:rFonts w:ascii="Arial" w:eastAsia="Arial" w:hAnsi="Arial" w:cs="Arial"/>
          <w:color w:val="3C4858"/>
          <w:sz w:val="24"/>
          <w:szCs w:val="24"/>
        </w:rPr>
        <w:lastRenderedPageBreak/>
        <w:t>provisions.  These students sit solely on the ACE roll and their package is designed, commissioned and monitored via ACE in support of their longer-term post 16 destination plans.</w:t>
      </w:r>
    </w:p>
    <w:p w14:paraId="497487D9" w14:textId="77777777" w:rsidR="00944099" w:rsidRDefault="00944099">
      <w:pPr>
        <w:shd w:val="clear" w:color="auto" w:fill="FFFFFF"/>
        <w:spacing w:after="0" w:line="240" w:lineRule="auto"/>
        <w:ind w:left="720"/>
        <w:jc w:val="both"/>
        <w:rPr>
          <w:rFonts w:ascii="Arial" w:eastAsia="Arial" w:hAnsi="Arial" w:cs="Arial"/>
          <w:color w:val="3C4858"/>
          <w:sz w:val="24"/>
          <w:szCs w:val="24"/>
        </w:rPr>
      </w:pPr>
    </w:p>
    <w:p w14:paraId="168C5944" w14:textId="77777777" w:rsidR="00944099" w:rsidRDefault="00E81832">
      <w:pPr>
        <w:numPr>
          <w:ilvl w:val="0"/>
          <w:numId w:val="5"/>
        </w:numPr>
        <w:shd w:val="clear" w:color="auto" w:fill="FFFFFF"/>
        <w:spacing w:after="0" w:line="240" w:lineRule="auto"/>
        <w:jc w:val="both"/>
        <w:rPr>
          <w:rFonts w:ascii="Arial" w:eastAsia="Arial" w:hAnsi="Arial" w:cs="Arial"/>
          <w:color w:val="3C4858"/>
          <w:sz w:val="24"/>
          <w:szCs w:val="24"/>
        </w:rPr>
      </w:pPr>
      <w:r>
        <w:rPr>
          <w:rFonts w:ascii="Arial" w:eastAsia="Arial" w:hAnsi="Arial" w:cs="Arial"/>
          <w:b/>
          <w:color w:val="3C4858"/>
          <w:sz w:val="24"/>
          <w:szCs w:val="24"/>
        </w:rPr>
        <w:t xml:space="preserve">Alternative to PEX </w:t>
      </w:r>
      <w:r>
        <w:rPr>
          <w:rFonts w:ascii="Arial" w:eastAsia="Arial" w:hAnsi="Arial" w:cs="Arial"/>
          <w:color w:val="3C4858"/>
          <w:sz w:val="24"/>
          <w:szCs w:val="24"/>
        </w:rPr>
        <w:t>which is a full time 3-week course, followed by three additional Fridays.  The course focuses on students being supported to unpick their past behaviour choices, explore alternative more positive behaviour strategies and to be supported in returning back to their original mainstream school.</w:t>
      </w:r>
    </w:p>
    <w:p w14:paraId="2149397B" w14:textId="77777777" w:rsidR="00944099" w:rsidRDefault="00944099">
      <w:pPr>
        <w:pBdr>
          <w:top w:val="nil"/>
          <w:left w:val="nil"/>
          <w:bottom w:val="nil"/>
          <w:right w:val="nil"/>
          <w:between w:val="nil"/>
        </w:pBdr>
        <w:ind w:left="720"/>
        <w:rPr>
          <w:rFonts w:ascii="Arial" w:eastAsia="Arial" w:hAnsi="Arial" w:cs="Arial"/>
          <w:color w:val="3C4858"/>
          <w:sz w:val="24"/>
          <w:szCs w:val="24"/>
        </w:rPr>
      </w:pPr>
    </w:p>
    <w:p w14:paraId="112EEADE" w14:textId="77777777" w:rsidR="00944099" w:rsidRDefault="00E81832">
      <w:pPr>
        <w:numPr>
          <w:ilvl w:val="0"/>
          <w:numId w:val="5"/>
        </w:numPr>
        <w:shd w:val="clear" w:color="auto" w:fill="FFFFFF"/>
        <w:spacing w:after="0" w:line="240" w:lineRule="auto"/>
        <w:jc w:val="both"/>
        <w:rPr>
          <w:rFonts w:ascii="Arial" w:eastAsia="Arial" w:hAnsi="Arial" w:cs="Arial"/>
          <w:color w:val="3C4858"/>
          <w:sz w:val="24"/>
          <w:szCs w:val="24"/>
        </w:rPr>
      </w:pPr>
      <w:r>
        <w:rPr>
          <w:rFonts w:ascii="Arial" w:eastAsia="Arial" w:hAnsi="Arial" w:cs="Arial"/>
          <w:b/>
          <w:color w:val="3C4858"/>
          <w:sz w:val="24"/>
          <w:szCs w:val="24"/>
        </w:rPr>
        <w:t>Turnaround.</w:t>
      </w:r>
      <w:r>
        <w:rPr>
          <w:rFonts w:ascii="Arial" w:eastAsia="Arial" w:hAnsi="Arial" w:cs="Arial"/>
          <w:color w:val="3C4858"/>
          <w:sz w:val="24"/>
          <w:szCs w:val="24"/>
        </w:rPr>
        <w:t xml:space="preserve">  A full time, 6-week package aimed as an early intervention for primarily KS3 students who are displaying challenging behaviours which are placing their ongoing mainstream school place at risk.  Students are supported to reflect on their behaviour triggers, adopt more positive strategies, refocus on their work and return (with ongoing outreach support) to their original school.</w:t>
      </w:r>
    </w:p>
    <w:p w14:paraId="4FF50F8E" w14:textId="77777777" w:rsidR="00944099" w:rsidRDefault="00944099">
      <w:pPr>
        <w:shd w:val="clear" w:color="auto" w:fill="FFFFFF"/>
        <w:spacing w:after="0" w:line="240" w:lineRule="auto"/>
        <w:jc w:val="both"/>
        <w:rPr>
          <w:rFonts w:ascii="Arial" w:eastAsia="Arial" w:hAnsi="Arial" w:cs="Arial"/>
          <w:color w:val="3C4858"/>
          <w:sz w:val="24"/>
          <w:szCs w:val="24"/>
        </w:rPr>
      </w:pPr>
    </w:p>
    <w:p w14:paraId="07628A50" w14:textId="77777777" w:rsidR="00944099" w:rsidRDefault="00944099">
      <w:pPr>
        <w:pBdr>
          <w:top w:val="nil"/>
          <w:left w:val="nil"/>
          <w:bottom w:val="nil"/>
          <w:right w:val="nil"/>
          <w:between w:val="nil"/>
        </w:pBdr>
        <w:shd w:val="clear" w:color="auto" w:fill="FFFFFF"/>
        <w:spacing w:after="225" w:line="240" w:lineRule="auto"/>
        <w:rPr>
          <w:rFonts w:ascii="Arial" w:eastAsia="Arial" w:hAnsi="Arial" w:cs="Arial"/>
          <w:b/>
          <w:color w:val="3C4858"/>
          <w:sz w:val="24"/>
          <w:szCs w:val="24"/>
        </w:rPr>
      </w:pPr>
    </w:p>
    <w:p w14:paraId="6A60DCBA"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b/>
          <w:color w:val="3C4858"/>
          <w:sz w:val="24"/>
          <w:szCs w:val="24"/>
        </w:rPr>
      </w:pPr>
      <w:r>
        <w:rPr>
          <w:rFonts w:ascii="Arial" w:eastAsia="Arial" w:hAnsi="Arial" w:cs="Arial"/>
          <w:b/>
          <w:color w:val="3C4858"/>
          <w:sz w:val="24"/>
          <w:szCs w:val="24"/>
        </w:rPr>
        <w:t>Requesting an ACE Place</w:t>
      </w:r>
    </w:p>
    <w:p w14:paraId="2100B838"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i/>
          <w:color w:val="3C4858"/>
          <w:sz w:val="24"/>
          <w:szCs w:val="24"/>
        </w:rPr>
      </w:pPr>
      <w:r>
        <w:rPr>
          <w:rFonts w:ascii="Arial" w:eastAsia="Arial" w:hAnsi="Arial" w:cs="Arial"/>
          <w:i/>
          <w:color w:val="3C4858"/>
          <w:sz w:val="24"/>
          <w:szCs w:val="24"/>
        </w:rPr>
        <w:t>As a Pupil Referral Unit, parents cannot apply directly for an ACE place and we are not part of the Yr 6 to 7 school application process.</w:t>
      </w:r>
    </w:p>
    <w:p w14:paraId="33A7FE5B" w14:textId="77777777" w:rsidR="00944099" w:rsidRDefault="00944099">
      <w:pPr>
        <w:pBdr>
          <w:top w:val="nil"/>
          <w:left w:val="nil"/>
          <w:bottom w:val="nil"/>
          <w:right w:val="nil"/>
          <w:between w:val="nil"/>
        </w:pBdr>
        <w:shd w:val="clear" w:color="auto" w:fill="FFFFFF"/>
        <w:spacing w:after="225" w:line="240" w:lineRule="auto"/>
        <w:rPr>
          <w:rFonts w:ascii="Arial" w:eastAsia="Arial" w:hAnsi="Arial" w:cs="Arial"/>
          <w:b/>
          <w:color w:val="3C4858"/>
          <w:sz w:val="24"/>
          <w:szCs w:val="24"/>
          <w:u w:val="single"/>
        </w:rPr>
      </w:pPr>
    </w:p>
    <w:p w14:paraId="4ED5C3DF" w14:textId="77777777" w:rsidR="00944099" w:rsidRDefault="00E81832">
      <w:pPr>
        <w:pBdr>
          <w:top w:val="nil"/>
          <w:left w:val="nil"/>
          <w:bottom w:val="nil"/>
          <w:right w:val="nil"/>
          <w:between w:val="nil"/>
        </w:pBdr>
        <w:shd w:val="clear" w:color="auto" w:fill="FFFFFF"/>
        <w:spacing w:after="225" w:line="240" w:lineRule="auto"/>
        <w:rPr>
          <w:rFonts w:ascii="Arial" w:eastAsia="Arial" w:hAnsi="Arial" w:cs="Arial"/>
          <w:b/>
          <w:color w:val="3C4858"/>
          <w:sz w:val="24"/>
          <w:szCs w:val="24"/>
          <w:u w:val="single"/>
        </w:rPr>
      </w:pPr>
      <w:r>
        <w:rPr>
          <w:rFonts w:ascii="Arial" w:eastAsia="Arial" w:hAnsi="Arial" w:cs="Arial"/>
          <w:b/>
          <w:color w:val="3C4858"/>
          <w:sz w:val="24"/>
          <w:szCs w:val="24"/>
          <w:u w:val="single"/>
        </w:rPr>
        <w:t>Referrals to ACE come from:</w:t>
      </w:r>
    </w:p>
    <w:p w14:paraId="79C8218B" w14:textId="77777777" w:rsidR="00944099" w:rsidRDefault="00E81832">
      <w:pPr>
        <w:pBdr>
          <w:top w:val="nil"/>
          <w:left w:val="nil"/>
          <w:bottom w:val="nil"/>
          <w:right w:val="nil"/>
          <w:between w:val="nil"/>
        </w:pBdr>
        <w:shd w:val="clear" w:color="auto" w:fill="FFFFFF"/>
        <w:spacing w:after="225" w:line="240" w:lineRule="auto"/>
        <w:rPr>
          <w:rFonts w:ascii="Arial" w:eastAsia="Arial" w:hAnsi="Arial" w:cs="Arial"/>
          <w:color w:val="3C4858"/>
          <w:sz w:val="24"/>
          <w:szCs w:val="24"/>
        </w:rPr>
      </w:pPr>
      <w:r>
        <w:rPr>
          <w:rFonts w:ascii="Arial" w:eastAsia="Arial" w:hAnsi="Arial" w:cs="Arial"/>
          <w:color w:val="3C4858"/>
          <w:sz w:val="24"/>
          <w:szCs w:val="24"/>
        </w:rPr>
        <w:t>Luton Secondary Schools</w:t>
      </w:r>
    </w:p>
    <w:p w14:paraId="0DBBC20B" w14:textId="77777777" w:rsidR="00944099" w:rsidRDefault="00E81832">
      <w:pPr>
        <w:numPr>
          <w:ilvl w:val="0"/>
          <w:numId w:val="2"/>
        </w:numPr>
        <w:pBdr>
          <w:top w:val="nil"/>
          <w:left w:val="nil"/>
          <w:bottom w:val="nil"/>
          <w:right w:val="nil"/>
          <w:between w:val="nil"/>
        </w:pBdr>
        <w:shd w:val="clear" w:color="auto" w:fill="FFFFFF"/>
        <w:spacing w:after="0" w:line="240" w:lineRule="auto"/>
        <w:jc w:val="both"/>
        <w:rPr>
          <w:rFonts w:ascii="Arial" w:eastAsia="Arial" w:hAnsi="Arial" w:cs="Arial"/>
          <w:color w:val="3C4858"/>
          <w:sz w:val="24"/>
          <w:szCs w:val="24"/>
        </w:rPr>
      </w:pPr>
      <w:r>
        <w:rPr>
          <w:rFonts w:ascii="Arial" w:eastAsia="Arial" w:hAnsi="Arial" w:cs="Arial"/>
          <w:color w:val="3C4858"/>
          <w:sz w:val="24"/>
          <w:szCs w:val="24"/>
        </w:rPr>
        <w:t>for students that have been permanently excluded and are not ready to move straight into a new mainstream school</w:t>
      </w:r>
    </w:p>
    <w:p w14:paraId="770FCCE0" w14:textId="77777777" w:rsidR="00944099" w:rsidRDefault="00E81832">
      <w:pPr>
        <w:numPr>
          <w:ilvl w:val="0"/>
          <w:numId w:val="2"/>
        </w:num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for students whose behaviour at school is putting their placement at risk and would benefit from some time in a smaller, more specialist provision.  This is always with parental agreement and is subject to ACE capacity at the time.</w:t>
      </w:r>
    </w:p>
    <w:p w14:paraId="3433A603"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Luton Admissions</w:t>
      </w:r>
    </w:p>
    <w:p w14:paraId="3C7485A6" w14:textId="77777777" w:rsidR="00944099" w:rsidRDefault="00E81832">
      <w:pPr>
        <w:numPr>
          <w:ilvl w:val="0"/>
          <w:numId w:val="1"/>
        </w:num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for students that have moved into Luton but it is felt by the Admissions Team that initially a mainstream school placement is not appropriate.</w:t>
      </w:r>
    </w:p>
    <w:p w14:paraId="5D3812DC" w14:textId="77777777" w:rsidR="00944099" w:rsidRDefault="00E81832">
      <w:pPr>
        <w:numPr>
          <w:ilvl w:val="0"/>
          <w:numId w:val="1"/>
        </w:num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for students whose previous provision was non-mainstream and the recommendation from Admissions is a referral to ACE is for a like for like package</w:t>
      </w:r>
    </w:p>
    <w:p w14:paraId="4B386ECB"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Pupil Placement Panel</w:t>
      </w:r>
    </w:p>
    <w:p w14:paraId="4EFF38AA" w14:textId="77777777" w:rsidR="00944099" w:rsidRDefault="00E81832">
      <w:pPr>
        <w:numPr>
          <w:ilvl w:val="0"/>
          <w:numId w:val="3"/>
        </w:num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where students have been nominated for a managed move between schools but the panel feels that sometime within a smaller provision would be beneficial as a bridging intervention</w:t>
      </w:r>
    </w:p>
    <w:p w14:paraId="302DA036" w14:textId="77777777" w:rsidR="00944099" w:rsidRDefault="00944099">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p>
    <w:p w14:paraId="6167F1E9" w14:textId="77777777" w:rsidR="00944099" w:rsidRDefault="00944099">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p>
    <w:p w14:paraId="6BB85D9F"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SENAT / Virtual School</w:t>
      </w:r>
    </w:p>
    <w:p w14:paraId="1AEC7EC5" w14:textId="77777777" w:rsidR="00944099" w:rsidRDefault="00E81832">
      <w:pPr>
        <w:numPr>
          <w:ilvl w:val="0"/>
          <w:numId w:val="4"/>
        </w:num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where it is felt that a more specialist and bespoke educational package is required to address specific needs and ACE becomes the nominated and named school on an EHC plan.</w:t>
      </w:r>
    </w:p>
    <w:p w14:paraId="7DC81584" w14:textId="77777777" w:rsidR="00944099" w:rsidRDefault="00944099">
      <w:pPr>
        <w:pBdr>
          <w:top w:val="nil"/>
          <w:left w:val="nil"/>
          <w:bottom w:val="nil"/>
          <w:right w:val="nil"/>
          <w:between w:val="nil"/>
        </w:pBdr>
        <w:shd w:val="clear" w:color="auto" w:fill="FFFFFF"/>
        <w:spacing w:after="225" w:line="240" w:lineRule="auto"/>
        <w:jc w:val="both"/>
        <w:rPr>
          <w:rFonts w:ascii="Arial" w:eastAsia="Arial" w:hAnsi="Arial" w:cs="Arial"/>
          <w:b/>
          <w:color w:val="3C4858"/>
          <w:sz w:val="24"/>
          <w:szCs w:val="24"/>
        </w:rPr>
      </w:pPr>
    </w:p>
    <w:p w14:paraId="7FEE73DE"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b/>
          <w:color w:val="3C4858"/>
          <w:sz w:val="24"/>
          <w:szCs w:val="24"/>
        </w:rPr>
      </w:pPr>
      <w:r>
        <w:rPr>
          <w:rFonts w:ascii="Arial" w:eastAsia="Arial" w:hAnsi="Arial" w:cs="Arial"/>
          <w:b/>
          <w:color w:val="3C4858"/>
          <w:sz w:val="24"/>
          <w:szCs w:val="24"/>
        </w:rPr>
        <w:t>ACE Admissions Process</w:t>
      </w:r>
    </w:p>
    <w:p w14:paraId="79E002DB"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 xml:space="preserve">ACE holds a weekly Hub allocation (HAM) meeting where referrals are discussed and allocated representatives of the ACE leadership, Teaching, Pastoral, Safeguarding and Pupil Management teams. </w:t>
      </w:r>
    </w:p>
    <w:p w14:paraId="21DA8B77"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The outcome of these meetings is fed back to the refer and if accepted, contact is then made with parent / carers to invite them and the student in for a meeting and tour of the site.</w:t>
      </w:r>
    </w:p>
    <w:p w14:paraId="58250A1A"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Students initially begin with a three-week placement within PACE, the pre- ACE induction and assessment suite that helps us get to know students, identify a baseline and identify the most relevant pathway and provision package for them.</w:t>
      </w:r>
    </w:p>
    <w:p w14:paraId="2001784A"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 xml:space="preserve">Students then move on to spend the majority of their time at ACE with their balance of time either back in school or at a vocationally targeted alternative provision.  </w:t>
      </w:r>
    </w:p>
    <w:p w14:paraId="7370777C"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Students work towards a range of appropriate and relevant qualifications, including but not limited to, GCSE’s, NCFE and Functional Skills alongside a more holistic program of preparing students for a return to mainstream school or onward transition to education, employment or training at the end of Year 11.</w:t>
      </w:r>
    </w:p>
    <w:p w14:paraId="3CA4D0A0" w14:textId="77777777" w:rsidR="00944099" w:rsidRDefault="00944099">
      <w:pPr>
        <w:shd w:val="clear" w:color="auto" w:fill="FFFFFF"/>
        <w:spacing w:before="240" w:after="0" w:line="276" w:lineRule="auto"/>
        <w:jc w:val="both"/>
        <w:rPr>
          <w:rFonts w:ascii="Arial" w:eastAsia="Arial" w:hAnsi="Arial" w:cs="Arial"/>
          <w:b/>
          <w:color w:val="3C4858"/>
          <w:sz w:val="24"/>
          <w:szCs w:val="24"/>
        </w:rPr>
      </w:pPr>
    </w:p>
    <w:p w14:paraId="19E45847" w14:textId="77777777" w:rsidR="00944099" w:rsidRDefault="00E81832">
      <w:pPr>
        <w:shd w:val="clear" w:color="auto" w:fill="FFFFFF"/>
        <w:spacing w:before="240" w:after="0" w:line="276" w:lineRule="auto"/>
        <w:jc w:val="both"/>
        <w:rPr>
          <w:rFonts w:ascii="Arial" w:eastAsia="Arial" w:hAnsi="Arial" w:cs="Arial"/>
          <w:b/>
          <w:color w:val="3C4858"/>
          <w:sz w:val="24"/>
          <w:szCs w:val="24"/>
        </w:rPr>
      </w:pPr>
      <w:r>
        <w:rPr>
          <w:rFonts w:ascii="Arial" w:eastAsia="Arial" w:hAnsi="Arial" w:cs="Arial"/>
          <w:b/>
          <w:color w:val="3C4858"/>
          <w:sz w:val="24"/>
          <w:szCs w:val="24"/>
        </w:rPr>
        <w:t>Outreach Referral Guidance Criteria</w:t>
      </w:r>
    </w:p>
    <w:p w14:paraId="681B6093" w14:textId="77777777" w:rsidR="00944099" w:rsidRDefault="00E81832">
      <w:pPr>
        <w:shd w:val="clear" w:color="auto" w:fill="FFFFFF"/>
        <w:spacing w:before="240" w:after="240" w:line="276" w:lineRule="auto"/>
        <w:jc w:val="both"/>
        <w:rPr>
          <w:rFonts w:ascii="Arial" w:eastAsia="Arial" w:hAnsi="Arial" w:cs="Arial"/>
          <w:color w:val="3C4858"/>
          <w:sz w:val="24"/>
          <w:szCs w:val="24"/>
        </w:rPr>
      </w:pPr>
      <w:r>
        <w:rPr>
          <w:rFonts w:ascii="Arial" w:eastAsia="Arial" w:hAnsi="Arial" w:cs="Arial"/>
          <w:color w:val="3C4858"/>
          <w:sz w:val="24"/>
          <w:szCs w:val="24"/>
        </w:rPr>
        <w:t>A referral to the Outreach Team should identify students who struggle to engage with mainstream education and require targeted intervention to support their learning and development. Below is a list identifying key criteria to support appropriate referrals:</w:t>
      </w:r>
    </w:p>
    <w:p w14:paraId="7D54DDDC" w14:textId="77777777" w:rsidR="00944099" w:rsidRDefault="00E81832">
      <w:pPr>
        <w:pStyle w:val="Heading3"/>
        <w:keepNext w:val="0"/>
        <w:keepLines w:val="0"/>
        <w:shd w:val="clear" w:color="auto" w:fill="FFFFFF"/>
        <w:spacing w:line="276" w:lineRule="auto"/>
        <w:jc w:val="both"/>
        <w:rPr>
          <w:rFonts w:ascii="Arial" w:eastAsia="Arial" w:hAnsi="Arial" w:cs="Arial"/>
          <w:b w:val="0"/>
          <w:color w:val="3C4858"/>
          <w:sz w:val="24"/>
          <w:szCs w:val="24"/>
        </w:rPr>
      </w:pPr>
      <w:bookmarkStart w:id="1" w:name="_heading=h.lg9wm2597cwp" w:colFirst="0" w:colLast="0"/>
      <w:bookmarkEnd w:id="1"/>
      <w:r>
        <w:rPr>
          <w:rFonts w:ascii="Arial" w:eastAsia="Arial" w:hAnsi="Arial" w:cs="Arial"/>
          <w:b w:val="0"/>
          <w:color w:val="3C4858"/>
          <w:sz w:val="24"/>
          <w:szCs w:val="24"/>
        </w:rPr>
        <w:t>1. Attendance &amp; Engagement</w:t>
      </w:r>
    </w:p>
    <w:p w14:paraId="3BD047CB" w14:textId="77777777" w:rsidR="00944099" w:rsidRDefault="00E81832">
      <w:pPr>
        <w:shd w:val="clear" w:color="auto" w:fill="FFFFFF"/>
        <w:spacing w:before="240"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Poor or falling attendance.</w:t>
      </w:r>
    </w:p>
    <w:p w14:paraId="405F0ECA" w14:textId="77777777" w:rsidR="00944099" w:rsidRDefault="00E81832">
      <w:pPr>
        <w:shd w:val="clear" w:color="auto" w:fill="FFFFFF"/>
        <w:spacing w:after="24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Disengagement in lessons</w:t>
      </w:r>
    </w:p>
    <w:p w14:paraId="19C71F45" w14:textId="77777777" w:rsidR="00944099" w:rsidRDefault="00E81832">
      <w:pPr>
        <w:pStyle w:val="Heading3"/>
        <w:keepNext w:val="0"/>
        <w:keepLines w:val="0"/>
        <w:shd w:val="clear" w:color="auto" w:fill="FFFFFF"/>
        <w:spacing w:line="276" w:lineRule="auto"/>
        <w:jc w:val="both"/>
        <w:rPr>
          <w:rFonts w:ascii="Arial" w:eastAsia="Arial" w:hAnsi="Arial" w:cs="Arial"/>
          <w:b w:val="0"/>
          <w:color w:val="3C4858"/>
          <w:sz w:val="24"/>
          <w:szCs w:val="24"/>
        </w:rPr>
      </w:pPr>
      <w:bookmarkStart w:id="2" w:name="_heading=h.vruzm9gqprgl" w:colFirst="0" w:colLast="0"/>
      <w:bookmarkEnd w:id="2"/>
      <w:r>
        <w:rPr>
          <w:rFonts w:ascii="Arial" w:eastAsia="Arial" w:hAnsi="Arial" w:cs="Arial"/>
          <w:b w:val="0"/>
          <w:color w:val="3C4858"/>
          <w:sz w:val="24"/>
          <w:szCs w:val="24"/>
        </w:rPr>
        <w:t>2. Academic Support Needs</w:t>
      </w:r>
    </w:p>
    <w:p w14:paraId="07076346" w14:textId="77777777" w:rsidR="00944099" w:rsidRDefault="00E81832">
      <w:pPr>
        <w:shd w:val="clear" w:color="auto" w:fill="FFFFFF"/>
        <w:spacing w:before="240"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Underachievement compared to ability or past performance</w:t>
      </w:r>
    </w:p>
    <w:p w14:paraId="417839AA"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Struggles with focus, concentration, or completing school work independently</w:t>
      </w:r>
    </w:p>
    <w:p w14:paraId="3C49024E" w14:textId="77777777" w:rsidR="00944099" w:rsidRDefault="00E81832">
      <w:pPr>
        <w:shd w:val="clear" w:color="auto" w:fill="FFFFFF"/>
        <w:spacing w:after="24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Requires alternative methods of learning due to SEN or other barriers</w:t>
      </w:r>
    </w:p>
    <w:p w14:paraId="57EA321E" w14:textId="77777777" w:rsidR="00944099" w:rsidRDefault="00E81832">
      <w:pPr>
        <w:pStyle w:val="Heading3"/>
        <w:keepNext w:val="0"/>
        <w:keepLines w:val="0"/>
        <w:shd w:val="clear" w:color="auto" w:fill="FFFFFF"/>
        <w:spacing w:line="276" w:lineRule="auto"/>
        <w:jc w:val="both"/>
        <w:rPr>
          <w:rFonts w:ascii="Arial" w:eastAsia="Arial" w:hAnsi="Arial" w:cs="Arial"/>
          <w:b w:val="0"/>
          <w:color w:val="3C4858"/>
          <w:sz w:val="24"/>
          <w:szCs w:val="24"/>
        </w:rPr>
      </w:pPr>
      <w:bookmarkStart w:id="3" w:name="_heading=h.pq9xnzh54ytd" w:colFirst="0" w:colLast="0"/>
      <w:bookmarkEnd w:id="3"/>
      <w:r>
        <w:rPr>
          <w:rFonts w:ascii="Arial" w:eastAsia="Arial" w:hAnsi="Arial" w:cs="Arial"/>
          <w:b w:val="0"/>
          <w:color w:val="3C4858"/>
          <w:sz w:val="24"/>
          <w:szCs w:val="24"/>
        </w:rPr>
        <w:lastRenderedPageBreak/>
        <w:t>3. Social, Emotional &amp; Mental Health (SEMH) Factors</w:t>
      </w:r>
    </w:p>
    <w:p w14:paraId="4E918330" w14:textId="77777777" w:rsidR="00944099" w:rsidRDefault="00E81832">
      <w:pPr>
        <w:shd w:val="clear" w:color="auto" w:fill="FFFFFF"/>
        <w:spacing w:before="240"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Low self-confidence, self-esteem, or social withdrawal</w:t>
      </w:r>
    </w:p>
    <w:p w14:paraId="3F629D8E"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Emotional dysregulation (frequent anxiety, anger, distress) impacting education</w:t>
      </w:r>
    </w:p>
    <w:p w14:paraId="4543379D"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Difficulty in peer relationships or social interactions</w:t>
      </w:r>
    </w:p>
    <w:p w14:paraId="3EB95282" w14:textId="77777777" w:rsidR="00944099" w:rsidRDefault="00E81832">
      <w:pPr>
        <w:shd w:val="clear" w:color="auto" w:fill="FFFFFF"/>
        <w:spacing w:after="24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History of trauma, bereavement, or adverse childhood experiences (ACEs)</w:t>
      </w:r>
    </w:p>
    <w:p w14:paraId="669F2236" w14:textId="77777777" w:rsidR="00944099" w:rsidRDefault="00E81832">
      <w:pPr>
        <w:pStyle w:val="Heading3"/>
        <w:keepNext w:val="0"/>
        <w:keepLines w:val="0"/>
        <w:shd w:val="clear" w:color="auto" w:fill="FFFFFF"/>
        <w:spacing w:line="276" w:lineRule="auto"/>
        <w:jc w:val="both"/>
        <w:rPr>
          <w:rFonts w:ascii="Arial" w:eastAsia="Arial" w:hAnsi="Arial" w:cs="Arial"/>
          <w:b w:val="0"/>
          <w:color w:val="3C4858"/>
          <w:sz w:val="24"/>
          <w:szCs w:val="24"/>
        </w:rPr>
      </w:pPr>
      <w:bookmarkStart w:id="4" w:name="_heading=h.pcganzxgzpad" w:colFirst="0" w:colLast="0"/>
      <w:bookmarkEnd w:id="4"/>
      <w:r>
        <w:rPr>
          <w:rFonts w:ascii="Arial" w:eastAsia="Arial" w:hAnsi="Arial" w:cs="Arial"/>
          <w:b w:val="0"/>
          <w:color w:val="3C4858"/>
          <w:sz w:val="24"/>
          <w:szCs w:val="24"/>
        </w:rPr>
        <w:t>4. Behavioural Challenges</w:t>
      </w:r>
    </w:p>
    <w:p w14:paraId="01F05B6C" w14:textId="77777777" w:rsidR="00944099" w:rsidRDefault="00E81832">
      <w:pPr>
        <w:shd w:val="clear" w:color="auto" w:fill="FFFFFF"/>
        <w:spacing w:before="240"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Persistent disruptive or defiant behaviour in school settings</w:t>
      </w:r>
    </w:p>
    <w:p w14:paraId="7CEFDDA0"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Difficulties with authority figures and following school expectations</w:t>
      </w:r>
    </w:p>
    <w:p w14:paraId="19164774"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At risk of suspension due to behavioural concerns</w:t>
      </w:r>
    </w:p>
    <w:p w14:paraId="06BFEF28" w14:textId="77777777" w:rsidR="00944099" w:rsidRDefault="00E81832">
      <w:pPr>
        <w:shd w:val="clear" w:color="auto" w:fill="FFFFFF"/>
        <w:spacing w:after="24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History of being bullied or bullying others</w:t>
      </w:r>
    </w:p>
    <w:p w14:paraId="0C4685FC" w14:textId="77777777" w:rsidR="00944099" w:rsidRDefault="00E81832">
      <w:pPr>
        <w:pStyle w:val="Heading3"/>
        <w:keepNext w:val="0"/>
        <w:keepLines w:val="0"/>
        <w:shd w:val="clear" w:color="auto" w:fill="FFFFFF"/>
        <w:spacing w:line="276" w:lineRule="auto"/>
        <w:jc w:val="both"/>
        <w:rPr>
          <w:rFonts w:ascii="Arial" w:eastAsia="Arial" w:hAnsi="Arial" w:cs="Arial"/>
          <w:b w:val="0"/>
          <w:color w:val="3C4858"/>
          <w:sz w:val="24"/>
          <w:szCs w:val="24"/>
        </w:rPr>
      </w:pPr>
      <w:bookmarkStart w:id="5" w:name="_heading=h.rervgp5n4zca" w:colFirst="0" w:colLast="0"/>
      <w:bookmarkEnd w:id="5"/>
      <w:r>
        <w:rPr>
          <w:rFonts w:ascii="Arial" w:eastAsia="Arial" w:hAnsi="Arial" w:cs="Arial"/>
          <w:b w:val="0"/>
          <w:color w:val="3C4858"/>
          <w:sz w:val="24"/>
          <w:szCs w:val="24"/>
        </w:rPr>
        <w:t>5. Safeguarding &amp; Vulnerability Indicators</w:t>
      </w:r>
    </w:p>
    <w:p w14:paraId="088ECDB9" w14:textId="77777777" w:rsidR="00944099" w:rsidRDefault="00E81832">
      <w:pPr>
        <w:shd w:val="clear" w:color="auto" w:fill="FFFFFF"/>
        <w:spacing w:before="240"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Involvement in risk-taking behaviours (</w:t>
      </w:r>
      <w:proofErr w:type="gramStart"/>
      <w:r>
        <w:rPr>
          <w:rFonts w:ascii="Arial" w:eastAsia="Arial" w:hAnsi="Arial" w:cs="Arial"/>
          <w:color w:val="3C4858"/>
          <w:sz w:val="24"/>
          <w:szCs w:val="24"/>
        </w:rPr>
        <w:t>e.g.</w:t>
      </w:r>
      <w:proofErr w:type="gramEnd"/>
      <w:r>
        <w:rPr>
          <w:rFonts w:ascii="Arial" w:eastAsia="Arial" w:hAnsi="Arial" w:cs="Arial"/>
          <w:color w:val="3C4858"/>
          <w:sz w:val="24"/>
          <w:szCs w:val="24"/>
        </w:rPr>
        <w:t xml:space="preserve"> proximity to criminal involvement, substance misuse, exploitation)</w:t>
      </w:r>
    </w:p>
    <w:p w14:paraId="6976D605"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Identified safeguarding concerns or social services involvement</w:t>
      </w:r>
    </w:p>
    <w:p w14:paraId="0EFD7747"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Family instability, homelessness, or being a looked-after child</w:t>
      </w:r>
    </w:p>
    <w:p w14:paraId="2CD5A321" w14:textId="77777777" w:rsidR="00944099" w:rsidRDefault="00E81832">
      <w:pPr>
        <w:shd w:val="clear" w:color="auto" w:fill="FFFFFF"/>
        <w:spacing w:after="24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Young carer responsibilities impacting education</w:t>
      </w:r>
    </w:p>
    <w:p w14:paraId="1ADFF5A4" w14:textId="77777777" w:rsidR="00944099" w:rsidRDefault="00E81832">
      <w:pPr>
        <w:pStyle w:val="Heading3"/>
        <w:keepNext w:val="0"/>
        <w:keepLines w:val="0"/>
        <w:shd w:val="clear" w:color="auto" w:fill="FFFFFF"/>
        <w:spacing w:line="276" w:lineRule="auto"/>
        <w:jc w:val="both"/>
        <w:rPr>
          <w:rFonts w:ascii="Arial" w:eastAsia="Arial" w:hAnsi="Arial" w:cs="Arial"/>
          <w:b w:val="0"/>
          <w:color w:val="3C4858"/>
          <w:sz w:val="24"/>
          <w:szCs w:val="24"/>
        </w:rPr>
      </w:pPr>
      <w:bookmarkStart w:id="6" w:name="_heading=h.jn2vorniprsk" w:colFirst="0" w:colLast="0"/>
      <w:bookmarkEnd w:id="6"/>
      <w:r>
        <w:rPr>
          <w:rFonts w:ascii="Arial" w:eastAsia="Arial" w:hAnsi="Arial" w:cs="Arial"/>
          <w:b w:val="0"/>
          <w:color w:val="3C4858"/>
          <w:sz w:val="24"/>
          <w:szCs w:val="24"/>
        </w:rPr>
        <w:t>6. Previous Interventions &amp; Support History</w:t>
      </w:r>
    </w:p>
    <w:p w14:paraId="1CDF6774" w14:textId="77777777" w:rsidR="00944099" w:rsidRDefault="00E81832">
      <w:pPr>
        <w:shd w:val="clear" w:color="auto" w:fill="FFFFFF"/>
        <w:spacing w:before="240"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School-based interventions (mentoring, behaviour plans)</w:t>
      </w:r>
    </w:p>
    <w:p w14:paraId="41907C92" w14:textId="77777777" w:rsidR="00944099" w:rsidRDefault="00E81832">
      <w:pPr>
        <w:shd w:val="clear" w:color="auto" w:fill="FFFFFF"/>
        <w:spacing w:after="24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Multi-agency involvement (e.g., CAMHS, social care, youth offending)</w:t>
      </w:r>
    </w:p>
    <w:p w14:paraId="5F07C60D" w14:textId="77777777" w:rsidR="00944099" w:rsidRDefault="00944099">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p>
    <w:p w14:paraId="4845D8D5" w14:textId="77777777" w:rsidR="00944099" w:rsidRDefault="00E81832">
      <w:pPr>
        <w:shd w:val="clear" w:color="auto" w:fill="FFFFFF"/>
        <w:spacing w:before="240" w:after="240" w:line="240" w:lineRule="auto"/>
        <w:jc w:val="both"/>
        <w:rPr>
          <w:rFonts w:ascii="Arial" w:eastAsia="Arial" w:hAnsi="Arial" w:cs="Arial"/>
          <w:color w:val="3C4858"/>
          <w:sz w:val="24"/>
          <w:szCs w:val="24"/>
          <w:highlight w:val="white"/>
        </w:rPr>
      </w:pPr>
      <w:r>
        <w:rPr>
          <w:rFonts w:ascii="Arial" w:eastAsia="Arial" w:hAnsi="Arial" w:cs="Arial"/>
          <w:b/>
          <w:color w:val="3C4858"/>
          <w:sz w:val="24"/>
          <w:szCs w:val="24"/>
          <w:highlight w:val="white"/>
        </w:rPr>
        <w:t xml:space="preserve">Outreach </w:t>
      </w:r>
      <w:r>
        <w:rPr>
          <w:rFonts w:ascii="Arial" w:eastAsia="Arial" w:hAnsi="Arial" w:cs="Arial"/>
          <w:b/>
          <w:color w:val="3C4858"/>
          <w:sz w:val="24"/>
          <w:szCs w:val="24"/>
        </w:rPr>
        <w:t>Referral Guidance Criteria</w:t>
      </w:r>
      <w:r>
        <w:rPr>
          <w:rFonts w:ascii="Arial" w:eastAsia="Arial" w:hAnsi="Arial" w:cs="Arial"/>
          <w:color w:val="3C4858"/>
          <w:sz w:val="24"/>
          <w:szCs w:val="24"/>
          <w:highlight w:val="white"/>
        </w:rPr>
        <w:t>:</w:t>
      </w:r>
    </w:p>
    <w:p w14:paraId="3A9C43BD" w14:textId="77777777" w:rsidR="00944099" w:rsidRDefault="00E81832">
      <w:pPr>
        <w:shd w:val="clear" w:color="auto" w:fill="FFFFFF"/>
        <w:spacing w:before="240" w:after="240" w:line="276" w:lineRule="auto"/>
        <w:jc w:val="both"/>
        <w:rPr>
          <w:rFonts w:ascii="Arial" w:eastAsia="Arial" w:hAnsi="Arial" w:cs="Arial"/>
          <w:color w:val="3C4858"/>
          <w:sz w:val="24"/>
          <w:szCs w:val="24"/>
        </w:rPr>
      </w:pPr>
      <w:r>
        <w:rPr>
          <w:rFonts w:ascii="Arial" w:eastAsia="Arial" w:hAnsi="Arial" w:cs="Arial"/>
          <w:color w:val="3C4858"/>
          <w:sz w:val="24"/>
          <w:szCs w:val="24"/>
        </w:rPr>
        <w:t>A referral to the Turnaround Programme should be based on clear indicators that a student would benefit from structured intervention to improve behaviour, engagement, and personal growth. Referrals must be received by the dates listed above to be considered for the next cohort. Below is a list identifying key criteria to support appropriate referrals:</w:t>
      </w:r>
    </w:p>
    <w:p w14:paraId="17DF73C4" w14:textId="77777777" w:rsidR="00944099" w:rsidRDefault="00E81832">
      <w:pPr>
        <w:pStyle w:val="Heading3"/>
        <w:keepNext w:val="0"/>
        <w:keepLines w:val="0"/>
        <w:shd w:val="clear" w:color="auto" w:fill="FFFFFF"/>
        <w:spacing w:line="276" w:lineRule="auto"/>
        <w:jc w:val="both"/>
        <w:rPr>
          <w:rFonts w:ascii="Arial" w:eastAsia="Arial" w:hAnsi="Arial" w:cs="Arial"/>
          <w:b w:val="0"/>
          <w:color w:val="3C4858"/>
          <w:sz w:val="24"/>
          <w:szCs w:val="24"/>
        </w:rPr>
      </w:pPr>
      <w:bookmarkStart w:id="7" w:name="_heading=h.9osr47l68vi9" w:colFirst="0" w:colLast="0"/>
      <w:bookmarkEnd w:id="7"/>
      <w:r>
        <w:rPr>
          <w:rFonts w:ascii="Arial" w:eastAsia="Arial" w:hAnsi="Arial" w:cs="Arial"/>
          <w:b w:val="0"/>
          <w:color w:val="3C4858"/>
          <w:sz w:val="24"/>
          <w:szCs w:val="24"/>
        </w:rPr>
        <w:t>1. Behavioural Indicators</w:t>
      </w:r>
    </w:p>
    <w:p w14:paraId="7268F254" w14:textId="77777777" w:rsidR="00944099" w:rsidRDefault="00E81832">
      <w:pPr>
        <w:shd w:val="clear" w:color="auto" w:fill="FFFFFF"/>
        <w:spacing w:before="240"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Persistent disruptive behaviour affecting own or others’ learning</w:t>
      </w:r>
    </w:p>
    <w:p w14:paraId="3F256F56"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proofErr w:type="gramStart"/>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Repeated</w:t>
      </w:r>
      <w:proofErr w:type="gramEnd"/>
      <w:r>
        <w:rPr>
          <w:rFonts w:ascii="Arial" w:eastAsia="Arial" w:hAnsi="Arial" w:cs="Arial"/>
          <w:color w:val="3C4858"/>
          <w:sz w:val="24"/>
          <w:szCs w:val="24"/>
        </w:rPr>
        <w:t xml:space="preserve"> detentions, suspensions (three or less), or referrals for poor conduct</w:t>
      </w:r>
    </w:p>
    <w:p w14:paraId="1A2D0299"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Evidence of anger management issues or emotional outbursts</w:t>
      </w:r>
    </w:p>
    <w:p w14:paraId="4BC95E94" w14:textId="77777777" w:rsidR="00944099" w:rsidRDefault="00E81832">
      <w:pPr>
        <w:shd w:val="clear" w:color="auto" w:fill="FFFFFF"/>
        <w:spacing w:after="24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Low self-regulation skills leading to conflicts with peers/staff</w:t>
      </w:r>
    </w:p>
    <w:p w14:paraId="073E3A0C" w14:textId="77777777" w:rsidR="00944099" w:rsidRDefault="00E81832">
      <w:pPr>
        <w:pStyle w:val="Heading3"/>
        <w:keepNext w:val="0"/>
        <w:keepLines w:val="0"/>
        <w:shd w:val="clear" w:color="auto" w:fill="FFFFFF"/>
        <w:spacing w:line="276" w:lineRule="auto"/>
        <w:jc w:val="both"/>
        <w:rPr>
          <w:rFonts w:ascii="Arial" w:eastAsia="Arial" w:hAnsi="Arial" w:cs="Arial"/>
          <w:b w:val="0"/>
          <w:color w:val="3C4858"/>
          <w:sz w:val="24"/>
          <w:szCs w:val="24"/>
        </w:rPr>
      </w:pPr>
      <w:bookmarkStart w:id="8" w:name="_heading=h.lnbhl6kv7qen" w:colFirst="0" w:colLast="0"/>
      <w:bookmarkEnd w:id="8"/>
      <w:r>
        <w:rPr>
          <w:rFonts w:ascii="Arial" w:eastAsia="Arial" w:hAnsi="Arial" w:cs="Arial"/>
          <w:b w:val="0"/>
          <w:color w:val="3C4858"/>
          <w:sz w:val="24"/>
          <w:szCs w:val="24"/>
        </w:rPr>
        <w:lastRenderedPageBreak/>
        <w:t>2. Academic Engagement &amp; Motivation</w:t>
      </w:r>
    </w:p>
    <w:p w14:paraId="79458F82" w14:textId="77777777" w:rsidR="00944099" w:rsidRDefault="00E81832">
      <w:pPr>
        <w:shd w:val="clear" w:color="auto" w:fill="FFFFFF"/>
        <w:spacing w:before="240"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Disengagement from or low motivation towards learning</w:t>
      </w:r>
    </w:p>
    <w:p w14:paraId="7C9F746B"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Poor or falling attendance or truancy</w:t>
      </w:r>
    </w:p>
    <w:p w14:paraId="0C42395D"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Significant underachievement compared to ability/potential</w:t>
      </w:r>
    </w:p>
    <w:p w14:paraId="639F6E70" w14:textId="77777777" w:rsidR="00944099" w:rsidRDefault="00E81832">
      <w:pPr>
        <w:shd w:val="clear" w:color="auto" w:fill="FFFFFF"/>
        <w:spacing w:after="24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Refusal to complete work, participate, or follow instructions</w:t>
      </w:r>
    </w:p>
    <w:p w14:paraId="765CADBA" w14:textId="77777777" w:rsidR="00944099" w:rsidRDefault="00E81832">
      <w:pPr>
        <w:pStyle w:val="Heading3"/>
        <w:keepNext w:val="0"/>
        <w:keepLines w:val="0"/>
        <w:shd w:val="clear" w:color="auto" w:fill="FFFFFF"/>
        <w:spacing w:line="276" w:lineRule="auto"/>
        <w:jc w:val="both"/>
        <w:rPr>
          <w:rFonts w:ascii="Arial" w:eastAsia="Arial" w:hAnsi="Arial" w:cs="Arial"/>
          <w:b w:val="0"/>
          <w:color w:val="3C4858"/>
          <w:sz w:val="24"/>
          <w:szCs w:val="24"/>
        </w:rPr>
      </w:pPr>
      <w:bookmarkStart w:id="9" w:name="_heading=h.q3ilodr64ufn" w:colFirst="0" w:colLast="0"/>
      <w:bookmarkEnd w:id="9"/>
      <w:r>
        <w:rPr>
          <w:rFonts w:ascii="Arial" w:eastAsia="Arial" w:hAnsi="Arial" w:cs="Arial"/>
          <w:b w:val="0"/>
          <w:color w:val="3C4858"/>
          <w:sz w:val="24"/>
          <w:szCs w:val="24"/>
        </w:rPr>
        <w:t>3. Social &amp; Emotional Challenges</w:t>
      </w:r>
    </w:p>
    <w:p w14:paraId="5C81C01D" w14:textId="77777777" w:rsidR="00944099" w:rsidRDefault="00E81832">
      <w:pPr>
        <w:shd w:val="clear" w:color="auto" w:fill="FFFFFF"/>
        <w:spacing w:before="240"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Low self-esteem, lack of confidence, or social withdrawal</w:t>
      </w:r>
    </w:p>
    <w:p w14:paraId="78B40900"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proofErr w:type="gramStart"/>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Difficulty</w:t>
      </w:r>
      <w:proofErr w:type="gramEnd"/>
      <w:r>
        <w:rPr>
          <w:rFonts w:ascii="Arial" w:eastAsia="Arial" w:hAnsi="Arial" w:cs="Arial"/>
          <w:color w:val="3C4858"/>
          <w:sz w:val="24"/>
          <w:szCs w:val="24"/>
        </w:rPr>
        <w:t xml:space="preserve"> forming or maintaining positive relationships with students and adults</w:t>
      </w:r>
    </w:p>
    <w:p w14:paraId="2DCA377E"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Evidence of bullying (as a victim or perpetrator)</w:t>
      </w:r>
    </w:p>
    <w:p w14:paraId="41BFA53B" w14:textId="77777777" w:rsidR="00944099" w:rsidRDefault="00E81832">
      <w:pPr>
        <w:shd w:val="clear" w:color="auto" w:fill="FFFFFF"/>
        <w:spacing w:after="24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High levels of anxiety, stress, or emotional distress affecting education</w:t>
      </w:r>
    </w:p>
    <w:p w14:paraId="703294B5" w14:textId="77777777" w:rsidR="00944099" w:rsidRDefault="00E81832">
      <w:pPr>
        <w:pStyle w:val="Heading3"/>
        <w:keepNext w:val="0"/>
        <w:keepLines w:val="0"/>
        <w:shd w:val="clear" w:color="auto" w:fill="FFFFFF"/>
        <w:spacing w:line="276" w:lineRule="auto"/>
        <w:jc w:val="both"/>
        <w:rPr>
          <w:rFonts w:ascii="Arial" w:eastAsia="Arial" w:hAnsi="Arial" w:cs="Arial"/>
          <w:b w:val="0"/>
          <w:color w:val="3C4858"/>
          <w:sz w:val="24"/>
          <w:szCs w:val="24"/>
        </w:rPr>
      </w:pPr>
      <w:bookmarkStart w:id="10" w:name="_heading=h.sgg0ft5dl0ia" w:colFirst="0" w:colLast="0"/>
      <w:bookmarkEnd w:id="10"/>
      <w:r>
        <w:rPr>
          <w:rFonts w:ascii="Arial" w:eastAsia="Arial" w:hAnsi="Arial" w:cs="Arial"/>
          <w:b w:val="0"/>
          <w:color w:val="3C4858"/>
          <w:sz w:val="24"/>
          <w:szCs w:val="24"/>
        </w:rPr>
        <w:t>4. Risk Factors &amp; Vulnerabilities</w:t>
      </w:r>
    </w:p>
    <w:p w14:paraId="5F7FE082" w14:textId="77777777" w:rsidR="00944099" w:rsidRDefault="00E81832">
      <w:pPr>
        <w:shd w:val="clear" w:color="auto" w:fill="FFFFFF"/>
        <w:spacing w:before="240"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Risk of antisocial behaviour or criminal activity</w:t>
      </w:r>
    </w:p>
    <w:p w14:paraId="47D4C5B3" w14:textId="77777777" w:rsidR="00944099" w:rsidRDefault="00E81832">
      <w:pPr>
        <w:shd w:val="clear" w:color="auto" w:fill="FFFFFF"/>
        <w:spacing w:after="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Family breakdown, bereavement, or other adverse life events</w:t>
      </w:r>
    </w:p>
    <w:p w14:paraId="48B14223" w14:textId="77777777" w:rsidR="00944099" w:rsidRDefault="00E81832">
      <w:pPr>
        <w:shd w:val="clear" w:color="auto" w:fill="FFFFFF"/>
        <w:spacing w:after="240" w:line="276" w:lineRule="auto"/>
        <w:ind w:left="1080" w:hanging="360"/>
        <w:jc w:val="both"/>
        <w:rPr>
          <w:rFonts w:ascii="Arial" w:eastAsia="Arial" w:hAnsi="Arial" w:cs="Arial"/>
          <w:color w:val="3C4858"/>
          <w:sz w:val="24"/>
          <w:szCs w:val="24"/>
        </w:rPr>
      </w:pPr>
      <w:proofErr w:type="gramStart"/>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Exposure</w:t>
      </w:r>
      <w:proofErr w:type="gramEnd"/>
      <w:r>
        <w:rPr>
          <w:rFonts w:ascii="Arial" w:eastAsia="Arial" w:hAnsi="Arial" w:cs="Arial"/>
          <w:color w:val="3C4858"/>
          <w:sz w:val="24"/>
          <w:szCs w:val="24"/>
        </w:rPr>
        <w:t xml:space="preserve"> to risky behaviours (i.e. substance abuse, risk of gang affiliation)</w:t>
      </w:r>
    </w:p>
    <w:p w14:paraId="534317F3" w14:textId="77777777" w:rsidR="00944099" w:rsidRDefault="00E81832">
      <w:pPr>
        <w:pStyle w:val="Heading3"/>
        <w:keepNext w:val="0"/>
        <w:keepLines w:val="0"/>
        <w:shd w:val="clear" w:color="auto" w:fill="FFFFFF"/>
        <w:spacing w:line="276" w:lineRule="auto"/>
        <w:jc w:val="both"/>
        <w:rPr>
          <w:rFonts w:ascii="Arial" w:eastAsia="Arial" w:hAnsi="Arial" w:cs="Arial"/>
          <w:b w:val="0"/>
          <w:color w:val="3C4858"/>
          <w:sz w:val="24"/>
          <w:szCs w:val="24"/>
        </w:rPr>
      </w:pPr>
      <w:bookmarkStart w:id="11" w:name="_heading=h.emi7exbhai92" w:colFirst="0" w:colLast="0"/>
      <w:bookmarkEnd w:id="11"/>
      <w:r>
        <w:rPr>
          <w:rFonts w:ascii="Arial" w:eastAsia="Arial" w:hAnsi="Arial" w:cs="Arial"/>
          <w:b w:val="0"/>
          <w:color w:val="3C4858"/>
          <w:sz w:val="24"/>
          <w:szCs w:val="24"/>
        </w:rPr>
        <w:t>5. School &amp; External Support History</w:t>
      </w:r>
    </w:p>
    <w:p w14:paraId="4FFA99F2" w14:textId="77777777" w:rsidR="00944099" w:rsidRDefault="00E81832">
      <w:pPr>
        <w:shd w:val="clear" w:color="auto" w:fill="FFFFFF"/>
        <w:spacing w:before="240" w:after="0" w:line="276" w:lineRule="auto"/>
        <w:ind w:left="1080" w:hanging="360"/>
        <w:jc w:val="both"/>
        <w:rPr>
          <w:rFonts w:ascii="Arial" w:eastAsia="Arial" w:hAnsi="Arial" w:cs="Arial"/>
          <w:color w:val="3C4858"/>
          <w:sz w:val="24"/>
          <w:szCs w:val="24"/>
        </w:rPr>
      </w:pPr>
      <w:proofErr w:type="gramStart"/>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Previous</w:t>
      </w:r>
      <w:proofErr w:type="gramEnd"/>
      <w:r>
        <w:rPr>
          <w:rFonts w:ascii="Arial" w:eastAsia="Arial" w:hAnsi="Arial" w:cs="Arial"/>
          <w:color w:val="3C4858"/>
          <w:sz w:val="24"/>
          <w:szCs w:val="24"/>
        </w:rPr>
        <w:t xml:space="preserve"> unsuccessful interventions (e.g., mentoring, behavioural contracts, ELSA, timetable adjustments, parent/carer meetings, use of internal AP, use of ACE Outreach)</w:t>
      </w:r>
    </w:p>
    <w:p w14:paraId="5BF0BC7E" w14:textId="77777777" w:rsidR="00944099" w:rsidRDefault="00E81832">
      <w:pPr>
        <w:shd w:val="clear" w:color="auto" w:fill="FFFFFF"/>
        <w:spacing w:after="240" w:line="276" w:lineRule="auto"/>
        <w:ind w:left="1080" w:hanging="360"/>
        <w:jc w:val="both"/>
        <w:rPr>
          <w:rFonts w:ascii="Arial" w:eastAsia="Arial" w:hAnsi="Arial" w:cs="Arial"/>
          <w:color w:val="3C4858"/>
          <w:sz w:val="24"/>
          <w:szCs w:val="24"/>
        </w:rPr>
      </w:pPr>
      <w:r>
        <w:rPr>
          <w:rFonts w:ascii="Arial" w:eastAsia="Arial" w:hAnsi="Arial" w:cs="Arial"/>
          <w:color w:val="3C4858"/>
          <w:sz w:val="24"/>
          <w:szCs w:val="24"/>
        </w:rPr>
        <w:t>●</w:t>
      </w:r>
      <w:r>
        <w:rPr>
          <w:rFonts w:ascii="Times New Roman" w:eastAsia="Times New Roman" w:hAnsi="Times New Roman" w:cs="Times New Roman"/>
          <w:color w:val="3C4858"/>
          <w:sz w:val="14"/>
          <w:szCs w:val="14"/>
        </w:rPr>
        <w:t xml:space="preserve">   </w:t>
      </w:r>
      <w:r>
        <w:rPr>
          <w:rFonts w:ascii="Arial" w:eastAsia="Arial" w:hAnsi="Arial" w:cs="Arial"/>
          <w:color w:val="3C4858"/>
          <w:sz w:val="24"/>
          <w:szCs w:val="24"/>
        </w:rPr>
        <w:t>Multiple agency involvement (e.g., social services, CAMHS, youth offending teams)</w:t>
      </w:r>
    </w:p>
    <w:p w14:paraId="3D7C16F9" w14:textId="77777777" w:rsidR="00944099" w:rsidRDefault="00E81832">
      <w:pPr>
        <w:shd w:val="clear" w:color="auto" w:fill="FFFFFF"/>
        <w:spacing w:before="240" w:after="240" w:line="240" w:lineRule="auto"/>
        <w:jc w:val="both"/>
        <w:rPr>
          <w:rFonts w:ascii="Arial" w:eastAsia="Arial" w:hAnsi="Arial" w:cs="Arial"/>
          <w:color w:val="3C4858"/>
          <w:sz w:val="24"/>
          <w:szCs w:val="24"/>
          <w:highlight w:val="white"/>
        </w:rPr>
      </w:pPr>
      <w:r>
        <w:rPr>
          <w:rFonts w:ascii="Arial" w:eastAsia="Arial" w:hAnsi="Arial" w:cs="Arial"/>
          <w:color w:val="3C4858"/>
          <w:sz w:val="24"/>
          <w:szCs w:val="24"/>
          <w:highlight w:val="white"/>
        </w:rPr>
        <w:t xml:space="preserve">Please contact Hayley Bewley </w:t>
      </w:r>
      <w:proofErr w:type="gramStart"/>
      <w:r>
        <w:rPr>
          <w:rFonts w:ascii="Arial" w:eastAsia="Arial" w:hAnsi="Arial" w:cs="Arial"/>
          <w:color w:val="1155CC"/>
          <w:sz w:val="24"/>
          <w:szCs w:val="24"/>
          <w:highlight w:val="white"/>
        </w:rPr>
        <w:t>hayley.bewley@avenuecentre.co.uk</w:t>
      </w:r>
      <w:r>
        <w:rPr>
          <w:rFonts w:ascii="Arial" w:eastAsia="Arial" w:hAnsi="Arial" w:cs="Arial"/>
          <w:color w:val="3C4858"/>
          <w:sz w:val="24"/>
          <w:szCs w:val="24"/>
          <w:highlight w:val="white"/>
        </w:rPr>
        <w:t xml:space="preserve">  to</w:t>
      </w:r>
      <w:proofErr w:type="gramEnd"/>
      <w:r>
        <w:rPr>
          <w:rFonts w:ascii="Arial" w:eastAsia="Arial" w:hAnsi="Arial" w:cs="Arial"/>
          <w:color w:val="3C4858"/>
          <w:sz w:val="24"/>
          <w:szCs w:val="24"/>
          <w:highlight w:val="white"/>
        </w:rPr>
        <w:t xml:space="preserve"> discuss a potential referral. The Turnaround Programme is designed for Tier 2 early intervention. Following a discussion with Hayley Bewley referrals are made by completing the online HAM referral form.</w:t>
      </w:r>
    </w:p>
    <w:p w14:paraId="5C8A2932" w14:textId="77777777" w:rsidR="00944099" w:rsidRDefault="00E81832">
      <w:pPr>
        <w:shd w:val="clear" w:color="auto" w:fill="FFFFFF"/>
        <w:spacing w:before="240" w:after="240" w:line="240" w:lineRule="auto"/>
        <w:jc w:val="both"/>
        <w:rPr>
          <w:rFonts w:ascii="Arial" w:eastAsia="Arial" w:hAnsi="Arial" w:cs="Arial"/>
          <w:color w:val="3C4858"/>
          <w:sz w:val="24"/>
          <w:szCs w:val="24"/>
          <w:highlight w:val="white"/>
        </w:rPr>
      </w:pPr>
      <w:r>
        <w:rPr>
          <w:rFonts w:ascii="Arial" w:eastAsia="Arial" w:hAnsi="Arial" w:cs="Arial"/>
          <w:color w:val="3C4858"/>
          <w:sz w:val="24"/>
          <w:szCs w:val="24"/>
          <w:highlight w:val="white"/>
        </w:rPr>
        <w:t xml:space="preserve">Pupils allocated places within the Turnaround programme may have access to support from the Multidisciplinary Specialist Team (MDST). Schools may be asked to complete a referral to the team which will be triaged and appropriate support allocated. Referral forms will be sent to </w:t>
      </w:r>
      <w:proofErr w:type="gramStart"/>
      <w:r>
        <w:rPr>
          <w:rFonts w:ascii="Arial" w:eastAsia="Arial" w:hAnsi="Arial" w:cs="Arial"/>
          <w:color w:val="3C4858"/>
          <w:sz w:val="24"/>
          <w:szCs w:val="24"/>
          <w:highlight w:val="white"/>
        </w:rPr>
        <w:t>schools</w:t>
      </w:r>
      <w:proofErr w:type="gramEnd"/>
      <w:r>
        <w:rPr>
          <w:rFonts w:ascii="Arial" w:eastAsia="Arial" w:hAnsi="Arial" w:cs="Arial"/>
          <w:color w:val="3C4858"/>
          <w:sz w:val="24"/>
          <w:szCs w:val="24"/>
          <w:highlight w:val="white"/>
        </w:rPr>
        <w:t xml:space="preserve"> once pupils have an agreed place on the Turnaround programme.</w:t>
      </w:r>
    </w:p>
    <w:p w14:paraId="3B5B3BBB" w14:textId="77777777" w:rsidR="00944099" w:rsidRDefault="00944099">
      <w:pPr>
        <w:pBdr>
          <w:top w:val="nil"/>
          <w:left w:val="nil"/>
          <w:bottom w:val="nil"/>
          <w:right w:val="nil"/>
          <w:between w:val="nil"/>
        </w:pBdr>
        <w:shd w:val="clear" w:color="auto" w:fill="FFFFFF"/>
        <w:spacing w:after="225" w:line="240" w:lineRule="auto"/>
        <w:jc w:val="both"/>
        <w:rPr>
          <w:rFonts w:ascii="Arial" w:eastAsia="Arial" w:hAnsi="Arial" w:cs="Arial"/>
          <w:b/>
          <w:color w:val="3C4858"/>
          <w:sz w:val="24"/>
          <w:szCs w:val="24"/>
        </w:rPr>
      </w:pPr>
    </w:p>
    <w:p w14:paraId="360F433C"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b/>
          <w:color w:val="3C4858"/>
          <w:sz w:val="24"/>
          <w:szCs w:val="24"/>
        </w:rPr>
      </w:pPr>
      <w:r>
        <w:rPr>
          <w:rFonts w:ascii="Arial" w:eastAsia="Arial" w:hAnsi="Arial" w:cs="Arial"/>
          <w:b/>
          <w:color w:val="3C4858"/>
          <w:sz w:val="24"/>
          <w:szCs w:val="24"/>
        </w:rPr>
        <w:t>Students at ACE</w:t>
      </w:r>
    </w:p>
    <w:p w14:paraId="02932786"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 xml:space="preserve">Students follow full time, individual timetables as they work towards their academic, vocational and personal goals.  A core package of English, Maths, Science, Sports and Personal Development Life skills is offered to all, with additional ‘option subjects’ </w:t>
      </w:r>
      <w:r>
        <w:rPr>
          <w:rFonts w:ascii="Arial" w:eastAsia="Arial" w:hAnsi="Arial" w:cs="Arial"/>
          <w:color w:val="3C4858"/>
          <w:sz w:val="24"/>
          <w:szCs w:val="24"/>
        </w:rPr>
        <w:lastRenderedPageBreak/>
        <w:t>offered via ACE or through the use of our approved and quality assured alternative provision partners.</w:t>
      </w:r>
    </w:p>
    <w:p w14:paraId="625FE12C"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All lessons are delivered within small classes by experienced and qualified staff, supported by a diverse team of additional specialist professionals including Careers Guidance, Mentoring, Counselling, Anger Management, Educational Psychology, Work Experience, and Physical Fitness as well as access to broader Health, Wellbeing and Social Care services.</w:t>
      </w:r>
    </w:p>
    <w:p w14:paraId="134E363F"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color w:val="3C4858"/>
          <w:sz w:val="24"/>
          <w:szCs w:val="24"/>
        </w:rPr>
      </w:pPr>
      <w:r>
        <w:rPr>
          <w:rFonts w:ascii="Arial" w:eastAsia="Arial" w:hAnsi="Arial" w:cs="Arial"/>
          <w:color w:val="3C4858"/>
          <w:sz w:val="24"/>
          <w:szCs w:val="24"/>
        </w:rPr>
        <w:t>All students work towards nationally recognised qualifications in support of their return to mainstream school or onward transition into college, training or employment.</w:t>
      </w:r>
    </w:p>
    <w:p w14:paraId="3A83D086" w14:textId="77777777" w:rsidR="00944099" w:rsidRDefault="00944099">
      <w:pPr>
        <w:pBdr>
          <w:top w:val="nil"/>
          <w:left w:val="nil"/>
          <w:bottom w:val="nil"/>
          <w:right w:val="nil"/>
          <w:between w:val="nil"/>
        </w:pBdr>
        <w:shd w:val="clear" w:color="auto" w:fill="FFFFFF"/>
        <w:spacing w:after="225" w:line="240" w:lineRule="auto"/>
        <w:jc w:val="both"/>
        <w:rPr>
          <w:rFonts w:ascii="Arial" w:eastAsia="Arial" w:hAnsi="Arial" w:cs="Arial"/>
          <w:b/>
          <w:color w:val="3C4858"/>
          <w:sz w:val="24"/>
          <w:szCs w:val="24"/>
        </w:rPr>
      </w:pPr>
    </w:p>
    <w:p w14:paraId="6DE38303"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b/>
          <w:color w:val="3C4858"/>
          <w:sz w:val="24"/>
          <w:szCs w:val="24"/>
        </w:rPr>
      </w:pPr>
      <w:r>
        <w:rPr>
          <w:rFonts w:ascii="Arial" w:eastAsia="Arial" w:hAnsi="Arial" w:cs="Arial"/>
          <w:b/>
          <w:color w:val="3C4858"/>
          <w:sz w:val="24"/>
          <w:szCs w:val="24"/>
        </w:rPr>
        <w:t>Reminder:</w:t>
      </w:r>
    </w:p>
    <w:p w14:paraId="4C25FE3A"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b/>
          <w:color w:val="3C4858"/>
          <w:sz w:val="24"/>
          <w:szCs w:val="24"/>
        </w:rPr>
      </w:pPr>
      <w:r>
        <w:rPr>
          <w:rFonts w:ascii="Arial" w:eastAsia="Arial" w:hAnsi="Arial" w:cs="Arial"/>
          <w:b/>
          <w:color w:val="3C4858"/>
          <w:sz w:val="24"/>
          <w:szCs w:val="24"/>
        </w:rPr>
        <w:t>Parents cannot apply for a place at ACE either directly or via School Admissions.  Referrals are made to ACE by LBC Admissions or Pupil Placement following a child's permanent exclusion from a Luton Secondary School.</w:t>
      </w:r>
    </w:p>
    <w:p w14:paraId="6896E5E3" w14:textId="77777777" w:rsidR="00944099" w:rsidRDefault="00E81832">
      <w:pPr>
        <w:pBdr>
          <w:top w:val="nil"/>
          <w:left w:val="nil"/>
          <w:bottom w:val="nil"/>
          <w:right w:val="nil"/>
          <w:between w:val="nil"/>
        </w:pBdr>
        <w:shd w:val="clear" w:color="auto" w:fill="FFFFFF"/>
        <w:spacing w:after="225" w:line="240" w:lineRule="auto"/>
        <w:jc w:val="both"/>
        <w:rPr>
          <w:rFonts w:ascii="Arial" w:eastAsia="Arial" w:hAnsi="Arial" w:cs="Arial"/>
          <w:b/>
          <w:color w:val="3C4858"/>
          <w:sz w:val="24"/>
          <w:szCs w:val="24"/>
        </w:rPr>
      </w:pPr>
      <w:r>
        <w:rPr>
          <w:rFonts w:ascii="Arial" w:eastAsia="Arial" w:hAnsi="Arial" w:cs="Arial"/>
          <w:b/>
          <w:color w:val="3C4858"/>
          <w:sz w:val="24"/>
          <w:szCs w:val="24"/>
        </w:rPr>
        <w:t>Schools, subject to ACE capacity, may refer to Outreach and Turnaround programs as early interventions to support students maintaining their secondary school placements.  These referrals are made with parental consent.</w:t>
      </w:r>
    </w:p>
    <w:sectPr w:rsidR="0094409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exend">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BE2"/>
    <w:multiLevelType w:val="multilevel"/>
    <w:tmpl w:val="57FA6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872FC3"/>
    <w:multiLevelType w:val="multilevel"/>
    <w:tmpl w:val="13142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C4043E"/>
    <w:multiLevelType w:val="multilevel"/>
    <w:tmpl w:val="DE8E6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6B5CAF"/>
    <w:multiLevelType w:val="multilevel"/>
    <w:tmpl w:val="FD449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BD04CE"/>
    <w:multiLevelType w:val="multilevel"/>
    <w:tmpl w:val="10F4CD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063747A"/>
    <w:multiLevelType w:val="multilevel"/>
    <w:tmpl w:val="598E1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99"/>
    <w:rsid w:val="001B5580"/>
    <w:rsid w:val="00944099"/>
    <w:rsid w:val="00E81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0B1C"/>
  <w15:docId w15:val="{7F107315-8A29-47F7-9B75-AEB6B1B2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NormalWeb">
    <w:name w:val="Normal (Web)"/>
    <w:basedOn w:val="Normal"/>
    <w:uiPriority w:val="99"/>
    <w:semiHidden/>
    <w:unhideWhenUsed/>
    <w:rsid w:val="000F56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56A6"/>
    <w:rPr>
      <w:b/>
      <w:bCs/>
    </w:rPr>
  </w:style>
  <w:style w:type="character" w:styleId="Emphasis">
    <w:name w:val="Emphasis"/>
    <w:basedOn w:val="DefaultParagraphFont"/>
    <w:uiPriority w:val="20"/>
    <w:qFormat/>
    <w:rsid w:val="000F56A6"/>
    <w:rPr>
      <w:i/>
      <w:iCs/>
    </w:rPr>
  </w:style>
  <w:style w:type="character" w:styleId="Hyperlink">
    <w:name w:val="Hyperlink"/>
    <w:basedOn w:val="DefaultParagraphFont"/>
    <w:uiPriority w:val="99"/>
    <w:unhideWhenUsed/>
    <w:rsid w:val="00D66601"/>
    <w:rPr>
      <w:color w:val="0563C1" w:themeColor="hyperlink"/>
      <w:u w:val="single"/>
    </w:rPr>
  </w:style>
  <w:style w:type="paragraph" w:customStyle="1" w:styleId="Title1">
    <w:name w:val="Title 1"/>
    <w:basedOn w:val="Heading1"/>
    <w:link w:val="Title1Char"/>
    <w:autoRedefine/>
    <w:qFormat/>
    <w:rsid w:val="004E6F4D"/>
    <w:pPr>
      <w:spacing w:before="480" w:after="120" w:line="240" w:lineRule="auto"/>
      <w:jc w:val="center"/>
    </w:pPr>
    <w:rPr>
      <w:rFonts w:ascii="Arial" w:eastAsia="MS Gothic" w:hAnsi="Arial" w:cs="Times New Roman"/>
      <w:b/>
      <w:bCs/>
      <w:color w:val="0070C0"/>
      <w:sz w:val="44"/>
      <w:szCs w:val="22"/>
      <w:lang w:val="en-US"/>
    </w:rPr>
  </w:style>
  <w:style w:type="character" w:customStyle="1" w:styleId="Title1Char">
    <w:name w:val="Title 1 Char"/>
    <w:link w:val="Title1"/>
    <w:rsid w:val="004E6F4D"/>
    <w:rPr>
      <w:rFonts w:ascii="Arial" w:eastAsia="MS Gothic" w:hAnsi="Arial" w:cs="Times New Roman"/>
      <w:b/>
      <w:bCs/>
      <w:color w:val="0070C0"/>
      <w:sz w:val="44"/>
      <w:lang w:val="en-US"/>
    </w:rPr>
  </w:style>
  <w:style w:type="character" w:customStyle="1" w:styleId="Heading1Char">
    <w:name w:val="Heading 1 Char"/>
    <w:basedOn w:val="DefaultParagraphFont"/>
    <w:link w:val="Heading1"/>
    <w:uiPriority w:val="9"/>
    <w:rsid w:val="00D66601"/>
    <w:rPr>
      <w:rFonts w:asciiTheme="majorHAnsi" w:eastAsiaTheme="majorEastAsia" w:hAnsiTheme="majorHAnsi" w:cstheme="majorBidi"/>
      <w:color w:val="2E74B5" w:themeColor="accent1" w:themeShade="BF"/>
      <w:sz w:val="32"/>
      <w:szCs w:val="32"/>
    </w:rPr>
  </w:style>
  <w:style w:type="table" w:customStyle="1" w:styleId="a">
    <w:basedOn w:val="TableNormal"/>
    <w:tblPr>
      <w:tblStyleRowBandSize w:val="1"/>
      <w:tblStyleColBandSize w:val="1"/>
      <w:tblCellMar>
        <w:top w:w="57" w:type="dxa"/>
        <w:left w:w="115" w:type="dxa"/>
        <w:bottom w:w="57" w:type="dxa"/>
        <w:right w:w="115" w:type="dxa"/>
      </w:tblCellMar>
    </w:tblPr>
  </w:style>
  <w:style w:type="paragraph" w:styleId="ListParagraph">
    <w:name w:val="List Paragraph"/>
    <w:basedOn w:val="Normal"/>
    <w:uiPriority w:val="34"/>
    <w:qFormat/>
    <w:rsid w:val="00B41B40"/>
    <w:pPr>
      <w:ind w:left="720"/>
      <w:contextualSpacing/>
    </w:pPr>
  </w:style>
  <w:style w:type="table" w:customStyle="1" w:styleId="a0">
    <w:basedOn w:val="TableNormal"/>
    <w:tblPr>
      <w:tblStyleRowBandSize w:val="1"/>
      <w:tblStyleColBandSize w:val="1"/>
      <w:tblCellMar>
        <w:top w:w="57" w:type="dxa"/>
        <w:left w:w="115" w:type="dxa"/>
        <w:bottom w:w="57"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top w:w="57" w:type="dxa"/>
        <w:left w:w="115" w:type="dxa"/>
        <w:bottom w:w="5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KRRpEd61EbpjUV6T2Rm48A8cw==">CgMxLjAyCGguZ2pkZ3hzMg5oLmxnOXdtMjU5N2N3cDIOaC52cnV6bTlncXByZ2wyDmgucHE5eG56aDU0eXRkMg5oLnBjZ2FuenhnenBhZDIOaC5yZXJ2Z3A1bjR6Y2EyDmguam4ydm9ybmlwcnNrMg5oLjlvc3I0N2w2OHZpOTIOaC5sbmJobDZrdjdxZW4yDmgucTNpbG9kcjY0dWZuMg5oLnNnZzBmdDVkbDBpYTIOaC5lbWk3ZXhiaGFpOTI4AHIhMXJjVjU1cy1OR3d0WGw1S3N1b1Z1NGlId2FmTzB2dj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1453</Words>
  <Characters>8286</Characters>
  <Application>Microsoft Office Word</Application>
  <DocSecurity>0</DocSecurity>
  <Lines>69</Lines>
  <Paragraphs>19</Paragraphs>
  <ScaleCrop>false</ScaleCrop>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Tracy Ridge</cp:lastModifiedBy>
  <cp:revision>2</cp:revision>
  <dcterms:created xsi:type="dcterms:W3CDTF">2026-02-10T10:46:00Z</dcterms:created>
  <dcterms:modified xsi:type="dcterms:W3CDTF">2026-02-10T10:46:00Z</dcterms:modified>
</cp:coreProperties>
</file>